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AB" w:rsidRDefault="00BC5CAB">
      <w:pPr>
        <w:pStyle w:val="a4"/>
        <w:framePr w:h="2568" w:wrap="around" w:vAnchor="text" w:hAnchor="margin" w:x="5607" w:y="1"/>
        <w:shd w:val="clear" w:color="auto" w:fill="auto"/>
      </w:pPr>
    </w:p>
    <w:p w:rsidR="00BC5CAB" w:rsidRDefault="00BC5CAB">
      <w:pPr>
        <w:framePr w:h="2568" w:wrap="around" w:vAnchor="text" w:hAnchor="margin" w:x="5607" w:y="1"/>
        <w:jc w:val="center"/>
        <w:rPr>
          <w:sz w:val="2"/>
          <w:szCs w:val="2"/>
        </w:rPr>
      </w:pPr>
    </w:p>
    <w:p w:rsidR="00BC5CAB" w:rsidRDefault="00BC5CAB">
      <w:pPr>
        <w:pStyle w:val="2"/>
        <w:framePr w:h="2568" w:wrap="around" w:vAnchor="text" w:hAnchor="margin" w:x="5607" w:y="1"/>
        <w:shd w:val="clear" w:color="auto" w:fill="auto"/>
        <w:spacing w:line="520" w:lineRule="exact"/>
      </w:pPr>
    </w:p>
    <w:p w:rsidR="00382117" w:rsidRDefault="00382117">
      <w:pPr>
        <w:pStyle w:val="1"/>
        <w:shd w:val="clear" w:color="auto" w:fill="auto"/>
        <w:spacing w:before="0" w:after="0" w:line="240" w:lineRule="exact"/>
        <w:jc w:val="right"/>
      </w:pPr>
    </w:p>
    <w:p w:rsidR="00382117" w:rsidRDefault="00382117">
      <w:pPr>
        <w:pStyle w:val="1"/>
        <w:shd w:val="clear" w:color="auto" w:fill="auto"/>
        <w:spacing w:before="0" w:after="0" w:line="240" w:lineRule="exact"/>
        <w:jc w:val="right"/>
      </w:pPr>
    </w:p>
    <w:p w:rsidR="00382117" w:rsidRDefault="00382117">
      <w:pPr>
        <w:pStyle w:val="1"/>
        <w:shd w:val="clear" w:color="auto" w:fill="auto"/>
        <w:spacing w:before="0" w:after="0" w:line="240" w:lineRule="exact"/>
        <w:jc w:val="right"/>
      </w:pPr>
    </w:p>
    <w:p w:rsidR="00382117" w:rsidRDefault="00382117">
      <w:pPr>
        <w:pStyle w:val="1"/>
        <w:shd w:val="clear" w:color="auto" w:fill="auto"/>
        <w:spacing w:before="0" w:after="0" w:line="240" w:lineRule="exact"/>
        <w:jc w:val="right"/>
      </w:pPr>
    </w:p>
    <w:p w:rsidR="00382117" w:rsidRDefault="00382117">
      <w:pPr>
        <w:pStyle w:val="1"/>
        <w:shd w:val="clear" w:color="auto" w:fill="auto"/>
        <w:spacing w:before="0" w:after="0" w:line="240" w:lineRule="exact"/>
        <w:jc w:val="right"/>
      </w:pPr>
    </w:p>
    <w:p w:rsidR="00382117" w:rsidRDefault="00382117">
      <w:pPr>
        <w:pStyle w:val="1"/>
        <w:shd w:val="clear" w:color="auto" w:fill="auto"/>
        <w:spacing w:before="0" w:after="0" w:line="240" w:lineRule="exact"/>
        <w:jc w:val="right"/>
      </w:pPr>
    </w:p>
    <w:p w:rsidR="00382117" w:rsidRDefault="00382117" w:rsidP="00382117">
      <w:pPr>
        <w:pStyle w:val="1"/>
        <w:shd w:val="clear" w:color="auto" w:fill="auto"/>
        <w:spacing w:before="0" w:after="0" w:line="240" w:lineRule="exact"/>
        <w:jc w:val="left"/>
      </w:pPr>
    </w:p>
    <w:p w:rsidR="00382117" w:rsidRDefault="00382117">
      <w:pPr>
        <w:pStyle w:val="1"/>
        <w:shd w:val="clear" w:color="auto" w:fill="auto"/>
        <w:spacing w:before="0" w:after="0" w:line="240" w:lineRule="exact"/>
        <w:jc w:val="right"/>
      </w:pPr>
    </w:p>
    <w:p w:rsidR="00382117" w:rsidRDefault="00382117">
      <w:pPr>
        <w:pStyle w:val="1"/>
        <w:shd w:val="clear" w:color="auto" w:fill="auto"/>
        <w:spacing w:before="0" w:after="0" w:line="240" w:lineRule="exact"/>
        <w:jc w:val="right"/>
      </w:pPr>
    </w:p>
    <w:p w:rsidR="00BC5CAB" w:rsidRDefault="00382117" w:rsidP="00382117">
      <w:pPr>
        <w:pStyle w:val="1"/>
        <w:shd w:val="clear" w:color="auto" w:fill="auto"/>
        <w:spacing w:before="0" w:after="0" w:line="240" w:lineRule="exact"/>
        <w:ind w:left="1843" w:right="-3402" w:firstLine="709"/>
        <w:sectPr w:rsidR="00BC5CAB" w:rsidSect="00382117">
          <w:type w:val="continuous"/>
          <w:pgSz w:w="11909" w:h="16838"/>
          <w:pgMar w:top="1203" w:right="569" w:bottom="1198" w:left="1176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              </w:t>
      </w:r>
    </w:p>
    <w:p w:rsidR="00BC5CAB" w:rsidRDefault="00BC5CAB">
      <w:pPr>
        <w:spacing w:before="46" w:after="46" w:line="240" w:lineRule="exact"/>
        <w:rPr>
          <w:sz w:val="19"/>
          <w:szCs w:val="19"/>
        </w:rPr>
      </w:pPr>
    </w:p>
    <w:p w:rsidR="00BC5CAB" w:rsidRDefault="00BC5CAB">
      <w:pPr>
        <w:rPr>
          <w:sz w:val="2"/>
          <w:szCs w:val="2"/>
        </w:rPr>
        <w:sectPr w:rsidR="00BC5CA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5CAB" w:rsidRPr="007C143B" w:rsidRDefault="007C143B" w:rsidP="007C143B">
      <w:pPr>
        <w:pStyle w:val="1"/>
        <w:shd w:val="clear" w:color="auto" w:fill="auto"/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r w:rsidRPr="007C143B">
        <w:rPr>
          <w:sz w:val="28"/>
          <w:szCs w:val="28"/>
        </w:rPr>
        <w:lastRenderedPageBreak/>
        <w:t xml:space="preserve">Уважаемые жители Верх-Тулинского сельсовета, </w:t>
      </w:r>
      <w:r w:rsidR="00417942" w:rsidRPr="007C143B">
        <w:rPr>
          <w:sz w:val="28"/>
          <w:szCs w:val="28"/>
        </w:rPr>
        <w:t>МЧС России проводит целый комплекс мероприятий, направленных на повышение культуры безопасности среди различных категорий населения, в том числе с использованием современных информационных технологий, а также информирования через средства массовой информации. Такие печатные издания, как «Спасатель МЧС России», журналы «Гражданская защита», «Пожарное дело» и «Основы безопасности жизнедеятельности» обеспечивают профессиональную читательскую аудиторию оперативной и достоверной информацией об основных направлениях государственной политики в сфере пожарной безопасности, гражданской обороны и защиты населения.</w:t>
      </w:r>
    </w:p>
    <w:p w:rsidR="007C143B" w:rsidRPr="007C143B" w:rsidRDefault="00417942" w:rsidP="007C143B">
      <w:pPr>
        <w:pStyle w:val="1"/>
        <w:shd w:val="clear" w:color="auto" w:fill="auto"/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r w:rsidRPr="007C143B">
        <w:rPr>
          <w:sz w:val="28"/>
          <w:szCs w:val="28"/>
        </w:rPr>
        <w:t xml:space="preserve">Оформить подписку на печатные и электронные версии возможно в любом почтовом отделении по каталогам агентств. Контактные данные для уточнения информации: </w:t>
      </w:r>
    </w:p>
    <w:p w:rsidR="00BC5CAB" w:rsidRPr="007C143B" w:rsidRDefault="00417942" w:rsidP="007C143B">
      <w:pPr>
        <w:pStyle w:val="1"/>
        <w:shd w:val="clear" w:color="auto" w:fill="auto"/>
        <w:spacing w:before="0" w:after="0" w:line="240" w:lineRule="auto"/>
        <w:ind w:left="20" w:right="20" w:firstLine="680"/>
        <w:jc w:val="both"/>
        <w:rPr>
          <w:sz w:val="28"/>
          <w:szCs w:val="28"/>
        </w:rPr>
        <w:sectPr w:rsidR="00BC5CAB" w:rsidRPr="007C143B">
          <w:type w:val="continuous"/>
          <w:pgSz w:w="11909" w:h="16838"/>
          <w:pgMar w:top="1203" w:right="1263" w:bottom="1198" w:left="1157" w:header="0" w:footer="3" w:gutter="0"/>
          <w:cols w:space="720"/>
          <w:noEndnote/>
          <w:docGrid w:linePitch="360"/>
        </w:sectPr>
      </w:pPr>
      <w:r w:rsidRPr="007C143B">
        <w:rPr>
          <w:sz w:val="28"/>
          <w:szCs w:val="28"/>
        </w:rPr>
        <w:t xml:space="preserve">тел. +7 499- 995-59-99 (5116), </w:t>
      </w:r>
      <w:hyperlink r:id="rId6" w:history="1">
        <w:r w:rsidRPr="007C143B">
          <w:rPr>
            <w:rStyle w:val="a3"/>
            <w:sz w:val="28"/>
            <w:szCs w:val="28"/>
            <w:lang w:val="en-US" w:eastAsia="en-US" w:bidi="en-US"/>
          </w:rPr>
          <w:t>mchs</w:t>
        </w:r>
        <w:r w:rsidRPr="007C143B">
          <w:rPr>
            <w:rStyle w:val="a3"/>
            <w:sz w:val="28"/>
            <w:szCs w:val="28"/>
            <w:lang w:eastAsia="en-US" w:bidi="en-US"/>
          </w:rPr>
          <w:t>_</w:t>
        </w:r>
        <w:r w:rsidRPr="007C143B">
          <w:rPr>
            <w:rStyle w:val="a3"/>
            <w:sz w:val="28"/>
            <w:szCs w:val="28"/>
            <w:lang w:val="en-US" w:eastAsia="en-US" w:bidi="en-US"/>
          </w:rPr>
          <w:t>podpiska</w:t>
        </w:r>
        <w:r w:rsidRPr="007C143B">
          <w:rPr>
            <w:rStyle w:val="a3"/>
            <w:sz w:val="28"/>
            <w:szCs w:val="28"/>
            <w:lang w:eastAsia="en-US" w:bidi="en-US"/>
          </w:rPr>
          <w:t>@</w:t>
        </w:r>
        <w:r w:rsidRPr="007C143B">
          <w:rPr>
            <w:rStyle w:val="a3"/>
            <w:sz w:val="28"/>
            <w:szCs w:val="28"/>
            <w:lang w:val="en-US" w:eastAsia="en-US" w:bidi="en-US"/>
          </w:rPr>
          <w:t>inoksion</w:t>
        </w:r>
        <w:r w:rsidRPr="007C143B">
          <w:rPr>
            <w:rStyle w:val="a3"/>
            <w:sz w:val="28"/>
            <w:szCs w:val="28"/>
            <w:lang w:eastAsia="en-US" w:bidi="en-US"/>
          </w:rPr>
          <w:t>.</w:t>
        </w:r>
        <w:r w:rsidRPr="007C143B">
          <w:rPr>
            <w:rStyle w:val="a3"/>
            <w:sz w:val="28"/>
            <w:szCs w:val="28"/>
            <w:lang w:val="en-US" w:eastAsia="en-US" w:bidi="en-US"/>
          </w:rPr>
          <w:t>ru</w:t>
        </w:r>
      </w:hyperlink>
      <w:r w:rsidRPr="007C143B">
        <w:rPr>
          <w:sz w:val="28"/>
          <w:szCs w:val="28"/>
          <w:lang w:eastAsia="en-US" w:bidi="en-US"/>
        </w:rPr>
        <w:t>.</w:t>
      </w:r>
    </w:p>
    <w:p w:rsidR="00BC5CAB" w:rsidRPr="007C143B" w:rsidRDefault="00BC5CAB" w:rsidP="007C143B">
      <w:pPr>
        <w:rPr>
          <w:sz w:val="28"/>
          <w:szCs w:val="28"/>
        </w:rPr>
      </w:pPr>
    </w:p>
    <w:p w:rsidR="00BC5CAB" w:rsidRPr="007C143B" w:rsidRDefault="00BC5CAB" w:rsidP="007C143B">
      <w:pPr>
        <w:rPr>
          <w:sz w:val="28"/>
          <w:szCs w:val="28"/>
        </w:rPr>
      </w:pPr>
    </w:p>
    <w:p w:rsidR="00BC5CAB" w:rsidRPr="007C143B" w:rsidRDefault="00BC5CAB" w:rsidP="007C143B">
      <w:pPr>
        <w:rPr>
          <w:sz w:val="28"/>
          <w:szCs w:val="28"/>
        </w:rPr>
        <w:sectPr w:rsidR="00BC5CAB" w:rsidRPr="007C14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5CAB" w:rsidRDefault="00BC5CAB">
      <w:pPr>
        <w:framePr w:h="955" w:wrap="around" w:hAnchor="margin" w:x="4407" w:y="9595"/>
        <w:jc w:val="center"/>
        <w:rPr>
          <w:sz w:val="2"/>
          <w:szCs w:val="2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line="240" w:lineRule="exact"/>
        <w:rPr>
          <w:sz w:val="19"/>
          <w:szCs w:val="19"/>
        </w:rPr>
      </w:pPr>
    </w:p>
    <w:p w:rsidR="00BC5CAB" w:rsidRDefault="00BC5CAB">
      <w:pPr>
        <w:spacing w:before="43" w:after="43" w:line="240" w:lineRule="exact"/>
        <w:rPr>
          <w:sz w:val="19"/>
          <w:szCs w:val="19"/>
        </w:rPr>
      </w:pPr>
    </w:p>
    <w:p w:rsidR="00BC5CAB" w:rsidRDefault="00BC5CAB">
      <w:pPr>
        <w:rPr>
          <w:sz w:val="2"/>
          <w:szCs w:val="2"/>
        </w:rPr>
        <w:sectPr w:rsidR="00BC5CA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BC5CAB" w:rsidRDefault="00BC5CAB">
      <w:pPr>
        <w:framePr w:h="456" w:wrap="notBeside" w:vAnchor="text" w:hAnchor="text" w:xAlign="right" w:y="1"/>
        <w:jc w:val="right"/>
        <w:rPr>
          <w:sz w:val="2"/>
          <w:szCs w:val="2"/>
        </w:rPr>
      </w:pPr>
    </w:p>
    <w:p w:rsidR="00BC5CAB" w:rsidRDefault="00BC5CAB">
      <w:pPr>
        <w:rPr>
          <w:sz w:val="2"/>
          <w:szCs w:val="2"/>
        </w:rPr>
      </w:pPr>
    </w:p>
    <w:p w:rsidR="00BC5CAB" w:rsidRDefault="00BC5CAB">
      <w:pPr>
        <w:pStyle w:val="30"/>
        <w:shd w:val="clear" w:color="auto" w:fill="auto"/>
        <w:spacing w:before="371"/>
        <w:ind w:right="6900"/>
        <w:jc w:val="left"/>
      </w:pPr>
    </w:p>
    <w:sectPr w:rsidR="00BC5CAB">
      <w:type w:val="continuous"/>
      <w:pgSz w:w="11909" w:h="16838"/>
      <w:pgMar w:top="1188" w:right="1968" w:bottom="1183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A0" w:rsidRDefault="00DE38A0">
      <w:r>
        <w:separator/>
      </w:r>
    </w:p>
  </w:endnote>
  <w:endnote w:type="continuationSeparator" w:id="0">
    <w:p w:rsidR="00DE38A0" w:rsidRDefault="00D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A0" w:rsidRDefault="00DE38A0"/>
  </w:footnote>
  <w:footnote w:type="continuationSeparator" w:id="0">
    <w:p w:rsidR="00DE38A0" w:rsidRDefault="00DE38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AB"/>
    <w:rsid w:val="00382117"/>
    <w:rsid w:val="00417942"/>
    <w:rsid w:val="007C143B"/>
    <w:rsid w:val="00BC5CAB"/>
    <w:rsid w:val="00D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47448-42C6-471C-B1FD-AC2823FF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15pt1pt">
    <w:name w:val="Основной текст (3) + 11;5 pt;Курсив;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52"/>
      <w:szCs w:val="5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60"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hs_podpiska@inoks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2020-01-09T03:05:00Z</dcterms:created>
  <dcterms:modified xsi:type="dcterms:W3CDTF">2020-01-09T03:10:00Z</dcterms:modified>
</cp:coreProperties>
</file>